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bidi w:val="1"/>
        <w:jc w:val="center"/>
        <w:rPr>
          <w:b w:val="1"/>
        </w:rPr>
      </w:pPr>
      <w:bookmarkStart w:colFirst="0" w:colLast="0" w:name="_61x7hj76yjur" w:id="0"/>
      <w:bookmarkEnd w:id="0"/>
      <w:r w:rsidDel="00000000" w:rsidR="00000000" w:rsidRPr="00000000">
        <w:rPr>
          <w:b w:val="1"/>
          <w:rtl w:val="1"/>
        </w:rPr>
        <w:t xml:space="preserve">مركز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للتدريب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والتطوير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مركز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ذوي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الهمم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ومصابي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الحرب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التأهيل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وتنتهي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والإنتاجية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متلقين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منتجين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ومؤثرين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مندمجين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افتراضية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LMS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إضافة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فيزيائية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bidi w:val="1"/>
        <w:rPr/>
      </w:pPr>
      <w:bookmarkStart w:colFirst="0" w:colLast="0" w:name="_fpzkn2hhbg9i" w:id="1"/>
      <w:bookmarkEnd w:id="1"/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b w:val="1"/>
          <w:rtl w:val="1"/>
        </w:rPr>
        <w:t xml:space="preserve">التأهيل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الشخصي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b w:val="1"/>
          <w:rtl w:val="1"/>
        </w:rPr>
        <w:t xml:space="preserve">التدريب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المهني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مك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تؤهلهم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للدخول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لقدراتهم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وميولهم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b w:val="1"/>
          <w:rtl w:val="1"/>
        </w:rPr>
        <w:t xml:space="preserve">مصنع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الابتكار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تحفيز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الابتكار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وإتاحة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أفكارهم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وتحويلها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وإبداعية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b w:val="1"/>
          <w:rtl w:val="1"/>
        </w:rPr>
        <w:t xml:space="preserve">حاضنة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الأعمال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الناشئة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b w:val="1"/>
          <w:rtl w:val="1"/>
        </w:rPr>
        <w:t xml:space="preserve">التدريب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رأس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لمهاراتهم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b w:val="1"/>
          <w:rtl w:val="1"/>
        </w:rPr>
        <w:t xml:space="preserve">برنامج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سفراء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التمكين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المتميزين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ليصبحوا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وسفراء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قادرين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لغيرهم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b w:val="1"/>
          <w:rtl w:val="1"/>
        </w:rPr>
        <w:t xml:space="preserve">الدعم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النفسي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والاجتماعي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الاستقلالية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bidi w:val="1"/>
        <w:rPr/>
      </w:pPr>
      <w:bookmarkStart w:colFirst="0" w:colLast="0" w:name="_km1ux8b8e5ei" w:id="2"/>
      <w:bookmarkEnd w:id="2"/>
      <w:r w:rsidDel="00000000" w:rsidR="00000000" w:rsidRPr="00000000">
        <w:rPr>
          <w:rtl w:val="1"/>
        </w:rPr>
        <w:t xml:space="preserve">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البرامج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يسعى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بداية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ليكونوا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فاعلين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وإدماج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والزلزال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الابتكار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bidi w:val="1"/>
        <w:rPr/>
      </w:pPr>
      <w:bookmarkStart w:colFirst="0" w:colLast="0" w:name="_yp0avh8yb526" w:id="3"/>
      <w:bookmarkEnd w:id="3"/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أزمة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القيادة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والمسؤولية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مصيرية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والاجتماعي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كيف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يعالجها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تأهيل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التمكين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أزمة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السلوك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غالب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متلق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للمساعدة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استقلاليتهم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b w:val="1"/>
          <w:rtl w:val="1"/>
        </w:rPr>
        <w:t xml:space="preserve">كيف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يعالجها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لمساعدتهم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إدماج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أنماط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الإنتاجية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والفاعلية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أزمة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الفكر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أنفسهم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كـمبتكرين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غالب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كيف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يعالجها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مصنع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الابتكار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ليكون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داعمة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الإبداعية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الابتكار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ليتمكن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المشكلات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حاضنة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وتمويل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أزمة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الفاعلية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يواجه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التمييز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لاستيعابهم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b w:val="1"/>
          <w:rtl w:val="1"/>
        </w:rPr>
        <w:t xml:space="preserve">كيف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يعالجها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توظيف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إدماج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وظائف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تناسبهم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أزمة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التخلف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الجغرافية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b w:val="1"/>
          <w:rtl w:val="1"/>
        </w:rPr>
        <w:t xml:space="preserve">كيف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يعالجها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LMS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يتيح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بمدربين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وموجهين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يقدم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مركز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شاملا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يواجهونها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الاندماج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التأهيل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والتواصلية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التغيير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والاجتماعي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يتلقى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إرشاد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وتوجيه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يساعدهم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إمكاناتهم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وتحفيزهم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واهتماماتهم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التركيز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إتاحة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LMS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تتيح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بسهولة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ومرونة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إدماجهم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الابتكار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شج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إبداعية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يواجهونها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ابتكارية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ومع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يوفر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توظيف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تمنحهم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ميدانية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يساعدهم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التوظيف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المستدام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أولئك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يطمحون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فيمكنهم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الانضمام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حاضنة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والاستشارات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إمكاناتهم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وقدراتهم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ولضمان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للمتميزين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يصبحوا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التمكين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تأهيلهم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ليكونوا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ملهمين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وداعمين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لغيرهم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ينقلون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ويحفزون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التمكين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يسهم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بداية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متلقين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منتجين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يساهمون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ويصنعون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استقلالية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وازدهار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لأنفسهم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